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Pr="00741EF1" w:rsidRDefault="00227BC2" w:rsidP="00227BC2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 xml:space="preserve">за еднократно допълнително трудово възнаграждение на директора, на основание </w:t>
      </w:r>
      <w:r w:rsidRPr="00741EF1">
        <w:rPr>
          <w:b/>
          <w:bCs/>
          <w:i/>
          <w:sz w:val="18"/>
          <w:highlight w:val="yellow"/>
          <w:lang w:val="bg-BG"/>
        </w:rPr>
        <w:t>раздел II, точка 4, буква „</w:t>
      </w:r>
      <w:r w:rsidR="0054404B">
        <w:rPr>
          <w:b/>
          <w:bCs/>
          <w:i/>
          <w:sz w:val="18"/>
          <w:highlight w:val="yellow"/>
          <w:lang w:val="bg-BG"/>
        </w:rPr>
        <w:t>В</w:t>
      </w:r>
      <w:r w:rsidRPr="00741EF1">
        <w:rPr>
          <w:b/>
          <w:bCs/>
          <w:i/>
          <w:sz w:val="18"/>
          <w:highlight w:val="yellow"/>
          <w:lang w:val="bg-BG"/>
        </w:rPr>
        <w:t>“</w:t>
      </w:r>
      <w:r w:rsidRPr="00741EF1">
        <w:rPr>
          <w:bCs/>
          <w:i/>
          <w:sz w:val="18"/>
          <w:highlight w:val="yellow"/>
          <w:lang w:val="bg-BG"/>
        </w:rPr>
        <w:t xml:space="preserve"> </w:t>
      </w:r>
      <w:r w:rsidR="00DD3582" w:rsidRPr="00741EF1">
        <w:rPr>
          <w:bCs/>
          <w:i/>
          <w:sz w:val="18"/>
        </w:rPr>
        <w:t xml:space="preserve"> </w:t>
      </w:r>
      <w:r w:rsidRPr="00741EF1">
        <w:rPr>
          <w:bCs/>
          <w:i/>
          <w:sz w:val="18"/>
          <w:lang w:val="bg-BG"/>
        </w:rPr>
        <w:t xml:space="preserve">от 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</w:t>
      </w:r>
      <w:r w:rsidR="00741EF1" w:rsidRPr="00741EF1">
        <w:rPr>
          <w:bCs/>
          <w:i/>
          <w:sz w:val="18"/>
          <w:lang w:val="bg-BG"/>
        </w:rPr>
        <w:t>з</w:t>
      </w:r>
      <w:r w:rsidRPr="00741EF1">
        <w:rPr>
          <w:bCs/>
          <w:i/>
          <w:sz w:val="18"/>
          <w:lang w:val="bg-BG"/>
        </w:rPr>
        <w:t>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Националния дворец на децата за 202</w:t>
      </w:r>
      <w:r w:rsidR="00377026" w:rsidRPr="00741EF1">
        <w:rPr>
          <w:bCs/>
          <w:i/>
          <w:sz w:val="18"/>
          <w:lang w:val="bg-BG"/>
        </w:rPr>
        <w:t>3</w:t>
      </w:r>
      <w:r w:rsidRPr="00741EF1">
        <w:rPr>
          <w:bCs/>
          <w:i/>
          <w:sz w:val="18"/>
          <w:lang w:val="bg-BG"/>
        </w:rPr>
        <w:t xml:space="preserve"> г., утвърдени</w:t>
      </w:r>
      <w:r w:rsidR="00235A49" w:rsidRPr="00741EF1">
        <w:rPr>
          <w:bCs/>
          <w:i/>
          <w:sz w:val="18"/>
          <w:lang w:val="bg-BG"/>
        </w:rPr>
        <w:t xml:space="preserve"> със Заповед № РД09- </w:t>
      </w:r>
      <w:r w:rsidR="00377026" w:rsidRPr="00741EF1">
        <w:rPr>
          <w:bCs/>
          <w:i/>
          <w:sz w:val="18"/>
          <w:lang w:val="bg-BG"/>
        </w:rPr>
        <w:t>476</w:t>
      </w:r>
      <w:r w:rsidR="00235A49" w:rsidRPr="00741EF1">
        <w:rPr>
          <w:bCs/>
          <w:i/>
          <w:sz w:val="18"/>
          <w:lang w:val="bg-BG"/>
        </w:rPr>
        <w:t>/</w:t>
      </w:r>
      <w:r w:rsidR="00377026" w:rsidRPr="00741EF1">
        <w:rPr>
          <w:bCs/>
          <w:i/>
          <w:sz w:val="18"/>
          <w:lang w:val="bg-BG"/>
        </w:rPr>
        <w:t>23</w:t>
      </w:r>
      <w:r w:rsidR="00235A49" w:rsidRPr="00741EF1">
        <w:rPr>
          <w:bCs/>
          <w:i/>
          <w:sz w:val="18"/>
          <w:lang w:val="bg-BG"/>
        </w:rPr>
        <w:t>.0</w:t>
      </w:r>
      <w:r w:rsidR="00377026" w:rsidRPr="00741EF1">
        <w:rPr>
          <w:bCs/>
          <w:i/>
          <w:sz w:val="18"/>
          <w:lang w:val="bg-BG"/>
        </w:rPr>
        <w:t>2</w:t>
      </w:r>
      <w:r w:rsidR="00235A49" w:rsidRPr="00741EF1">
        <w:rPr>
          <w:bCs/>
          <w:i/>
          <w:sz w:val="18"/>
          <w:lang w:val="bg-BG"/>
        </w:rPr>
        <w:t>.202</w:t>
      </w:r>
      <w:r w:rsidR="00377026" w:rsidRPr="00741EF1">
        <w:rPr>
          <w:bCs/>
          <w:i/>
          <w:sz w:val="18"/>
          <w:lang w:val="bg-BG"/>
        </w:rPr>
        <w:t>3</w:t>
      </w:r>
      <w:r w:rsidR="009E38DA" w:rsidRPr="00741EF1">
        <w:rPr>
          <w:bCs/>
          <w:i/>
          <w:sz w:val="18"/>
          <w:lang w:val="bg-BG"/>
        </w:rPr>
        <w:t xml:space="preserve"> г.</w:t>
      </w:r>
      <w:r w:rsidRPr="00741EF1">
        <w:rPr>
          <w:bCs/>
          <w:i/>
          <w:sz w:val="18"/>
          <w:lang w:val="bg-BG"/>
        </w:rPr>
        <w:t xml:space="preserve"> на министъра на образованието и науката</w:t>
      </w: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2"/>
        <w:gridCol w:w="3261"/>
      </w:tblGrid>
      <w:tr w:rsidR="00C930EF" w:rsidRPr="00A073A2" w:rsidTr="0037702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377026">
        <w:tc>
          <w:tcPr>
            <w:tcW w:w="540" w:type="dxa"/>
          </w:tcPr>
          <w:p w:rsidR="00C930EF" w:rsidRPr="009E38DA" w:rsidRDefault="00C930EF" w:rsidP="00C930EF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DD3582" w:rsidRDefault="005401CF" w:rsidP="00DD3582">
            <w:pPr>
              <w:spacing w:before="120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Еднократно д</w:t>
            </w:r>
            <w:r w:rsidR="00DD3582">
              <w:rPr>
                <w:b/>
                <w:bCs/>
                <w:lang w:val="bg-BG"/>
              </w:rPr>
              <w:t>опълнително</w:t>
            </w:r>
            <w:r w:rsidR="00C930EF" w:rsidRPr="009E38DA">
              <w:rPr>
                <w:b/>
                <w:bCs/>
                <w:lang w:val="bg-BG"/>
              </w:rPr>
              <w:t xml:space="preserve"> възнаграждение </w:t>
            </w:r>
            <w:r>
              <w:rPr>
                <w:b/>
                <w:bCs/>
                <w:lang w:val="bg-BG"/>
              </w:rPr>
              <w:t>в края на годината.</w:t>
            </w:r>
            <w:r w:rsidR="00DD3582" w:rsidRPr="00DD3582">
              <w:rPr>
                <w:bCs/>
                <w:lang w:val="bg-BG"/>
              </w:rPr>
              <w:t xml:space="preserve"> </w:t>
            </w:r>
          </w:p>
          <w:p w:rsidR="00C930EF" w:rsidRPr="00BF4AD6" w:rsidRDefault="00C930EF" w:rsidP="00DD3582">
            <w:pPr>
              <w:spacing w:before="120"/>
            </w:pPr>
          </w:p>
        </w:tc>
        <w:tc>
          <w:tcPr>
            <w:tcW w:w="3261" w:type="dxa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5401CF">
            <w:pPr>
              <w:spacing w:before="120" w:after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741EF1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</w:t>
            </w:r>
            <w:r w:rsidR="00914524">
              <w:rPr>
                <w:bCs/>
                <w:lang w:val="bg-BG"/>
              </w:rPr>
              <w:t xml:space="preserve">посочете </w:t>
            </w:r>
            <w:r w:rsidRPr="009E38DA">
              <w:rPr>
                <w:bCs/>
                <w:lang w:val="bg-BG"/>
              </w:rPr>
              <w:t>размер в % от утвърдения бюджет на институцията.</w:t>
            </w:r>
          </w:p>
        </w:tc>
        <w:tc>
          <w:tcPr>
            <w:tcW w:w="3261" w:type="dxa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Default="00377026" w:rsidP="00914524">
            <w:pPr>
              <w:spacing w:before="120"/>
              <w:rPr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  <w:r w:rsidR="00741EF1">
              <w:rPr>
                <w:lang w:val="bg-BG"/>
              </w:rPr>
              <w:t>. Ако да – избройте</w:t>
            </w:r>
            <w:r w:rsidR="00914524">
              <w:rPr>
                <w:lang w:val="bg-BG"/>
              </w:rPr>
              <w:t xml:space="preserve"> и посочете № на заповед</w:t>
            </w:r>
            <w:r w:rsidR="00741EF1">
              <w:rPr>
                <w:lang w:val="bg-BG"/>
              </w:rPr>
              <w:t>:</w:t>
            </w:r>
          </w:p>
          <w:p w:rsidR="00377026" w:rsidRPr="00741EF1" w:rsidRDefault="00741EF1" w:rsidP="00741EF1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3261" w:type="dxa"/>
          </w:tcPr>
          <w:p w:rsidR="00377026" w:rsidRDefault="00377026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 w:after="120"/>
              <w:rPr>
                <w:lang w:val="bg-BG"/>
              </w:rPr>
            </w:pPr>
            <w:r>
              <w:rPr>
                <w:b/>
                <w:lang w:val="bg-BG"/>
              </w:rPr>
              <w:t>И</w:t>
            </w:r>
            <w:r w:rsidRPr="00BF4AD6">
              <w:rPr>
                <w:b/>
                <w:lang w:val="bg-BG"/>
              </w:rPr>
              <w:t>здадени задължителни предписания</w:t>
            </w:r>
            <w:r w:rsidRPr="009E38DA">
              <w:rPr>
                <w:lang w:val="bg-BG"/>
              </w:rPr>
              <w:t xml:space="preserve"> към директора от началника на РУО, МОН или първостепенния разпоредител с бюджет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BF4AD6">
              <w:rPr>
                <w:b/>
                <w:lang w:val="bg-BG"/>
              </w:rPr>
              <w:t>аложено дисциплинарно наказание</w:t>
            </w:r>
            <w:r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/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>Окончателен коефициент</w:t>
            </w:r>
            <w:r>
              <w:rPr>
                <w:bCs/>
                <w:lang w:val="bg-BG"/>
              </w:rPr>
              <w:t xml:space="preserve"> за ДТВ</w:t>
            </w:r>
          </w:p>
          <w:p w:rsidR="00377026" w:rsidRPr="009E38DA" w:rsidRDefault="00377026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3261" w:type="dxa"/>
          </w:tcPr>
          <w:p w:rsidR="00377026" w:rsidRPr="00BF4AD6" w:rsidRDefault="00377026" w:rsidP="00741EF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377026" w:rsidRPr="00BF4AD6" w:rsidRDefault="00377026" w:rsidP="00741EF1">
            <w:pPr>
              <w:spacing w:before="120" w:after="120"/>
              <w:jc w:val="center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741EF1" w:rsidRDefault="00741EF1" w:rsidP="00227BC2">
      <w:pPr>
        <w:overflowPunct/>
        <w:jc w:val="both"/>
        <w:textAlignment w:val="auto"/>
        <w:rPr>
          <w:bCs/>
          <w:lang w:val="bg-BG"/>
        </w:rPr>
      </w:pPr>
    </w:p>
    <w:p w:rsidR="00C930EF" w:rsidRPr="00741EF1" w:rsidRDefault="00A7582C" w:rsidP="00741EF1">
      <w:pPr>
        <w:overflowPunct/>
        <w:ind w:firstLine="567"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*Периодът, за който се подава мотивираното искане е от подаденото предишно искане до настоящото.</w:t>
      </w:r>
    </w:p>
    <w:p w:rsidR="00BE3416" w:rsidRDefault="00BE3416" w:rsidP="00741EF1">
      <w:pPr>
        <w:ind w:firstLine="567"/>
        <w:jc w:val="both"/>
        <w:rPr>
          <w:bCs/>
          <w:i/>
          <w:sz w:val="18"/>
          <w:lang w:val="bg-BG"/>
        </w:rPr>
      </w:pPr>
      <w:r>
        <w:rPr>
          <w:bCs/>
          <w:i/>
          <w:sz w:val="18"/>
          <w:lang w:val="bg-BG"/>
        </w:rPr>
        <w:t>Забележка:</w:t>
      </w:r>
    </w:p>
    <w:p w:rsidR="006C2C67" w:rsidRPr="00741EF1" w:rsidRDefault="0084701A" w:rsidP="00741EF1">
      <w:pPr>
        <w:ind w:firstLine="567"/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741EF1" w:rsidRPr="00741EF1" w:rsidRDefault="00741EF1" w:rsidP="00741EF1">
      <w:pPr>
        <w:ind w:firstLine="567"/>
        <w:jc w:val="both"/>
        <w:rPr>
          <w:bCs/>
          <w:i/>
          <w:sz w:val="18"/>
          <w:lang w:val="bg-BG"/>
        </w:rPr>
      </w:pPr>
      <w:bookmarkStart w:id="0" w:name="_GoBack"/>
      <w:bookmarkEnd w:id="0"/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741EF1" w:rsidRPr="0084701A" w:rsidRDefault="00741EF1" w:rsidP="0084701A">
      <w:pPr>
        <w:jc w:val="both"/>
        <w:rPr>
          <w:bCs/>
          <w:szCs w:val="12"/>
          <w:lang w:val="bg-BG"/>
        </w:rPr>
      </w:pPr>
    </w:p>
    <w:p w:rsidR="009E38DA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741EF1" w:rsidRPr="00377026" w:rsidRDefault="009E38DA" w:rsidP="00914524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BE3416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5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 w:rsidR="00741EF1">
        <w:rPr>
          <w:sz w:val="24"/>
          <w:lang w:val="bg-BG"/>
        </w:rPr>
        <w:tab/>
      </w:r>
      <w:r w:rsidR="00BE3416">
        <w:rPr>
          <w:sz w:val="24"/>
          <w:lang w:val="bg-BG"/>
        </w:rPr>
        <w:pict>
          <v:shape id="_x0000_i1026" type="#_x0000_t75" alt="Microsoft Office Signature Line..." style="width:144.55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sectPr w:rsidR="00741EF1" w:rsidRPr="00377026" w:rsidSect="00FA52D9">
      <w:headerReference w:type="default" r:id="rId8"/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284" w:left="709" w:header="42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9F" w:rsidRDefault="002A569F" w:rsidP="00FA52D9">
      <w:r>
        <w:separator/>
      </w:r>
    </w:p>
  </w:endnote>
  <w:endnote w:type="continuationSeparator" w:id="0">
    <w:p w:rsidR="002A569F" w:rsidRDefault="002A569F" w:rsidP="00F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9F" w:rsidRDefault="002A569F" w:rsidP="00FA52D9">
      <w:r>
        <w:separator/>
      </w:r>
    </w:p>
  </w:footnote>
  <w:footnote w:type="continuationSeparator" w:id="0">
    <w:p w:rsidR="002A569F" w:rsidRDefault="002A569F" w:rsidP="00F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D9" w:rsidRPr="00FA52D9" w:rsidRDefault="00FA52D9" w:rsidP="00FA52D9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4F3D03">
      <w:rPr>
        <w:sz w:val="24"/>
        <w:szCs w:val="24"/>
        <w:lang w:val="bg-BG"/>
      </w:rPr>
      <w:t>Приложение №</w:t>
    </w:r>
    <w:r>
      <w:rPr>
        <w:sz w:val="24"/>
        <w:szCs w:val="24"/>
        <w:lang w:val="bg-BG"/>
      </w:rPr>
      <w:t>7</w:t>
    </w:r>
    <w:r w:rsidRPr="004F3D03">
      <w:rPr>
        <w:sz w:val="24"/>
        <w:szCs w:val="24"/>
        <w:lang w:val="bg-BG"/>
      </w:rPr>
      <w:t xml:space="preserve"> към заповед № РД01-108/ 28.02.2023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521DD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A569F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77026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3439"/>
    <w:rsid w:val="00535A41"/>
    <w:rsid w:val="005401CF"/>
    <w:rsid w:val="0054404B"/>
    <w:rsid w:val="0055722D"/>
    <w:rsid w:val="00557541"/>
    <w:rsid w:val="005B2A2B"/>
    <w:rsid w:val="005C0CF9"/>
    <w:rsid w:val="005C75DC"/>
    <w:rsid w:val="006067A3"/>
    <w:rsid w:val="00614EE4"/>
    <w:rsid w:val="006252CF"/>
    <w:rsid w:val="00627DD3"/>
    <w:rsid w:val="0065107D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01D2"/>
    <w:rsid w:val="00692A71"/>
    <w:rsid w:val="00696FF8"/>
    <w:rsid w:val="006A15DB"/>
    <w:rsid w:val="006C2C67"/>
    <w:rsid w:val="006D2457"/>
    <w:rsid w:val="006D3B7E"/>
    <w:rsid w:val="006E341D"/>
    <w:rsid w:val="00741EF1"/>
    <w:rsid w:val="0075188C"/>
    <w:rsid w:val="007753FE"/>
    <w:rsid w:val="00777D44"/>
    <w:rsid w:val="0078747D"/>
    <w:rsid w:val="00787F0D"/>
    <w:rsid w:val="007A13DA"/>
    <w:rsid w:val="007A2B5E"/>
    <w:rsid w:val="007A549E"/>
    <w:rsid w:val="007B71BE"/>
    <w:rsid w:val="007C241C"/>
    <w:rsid w:val="007D5902"/>
    <w:rsid w:val="007E290D"/>
    <w:rsid w:val="007F1E04"/>
    <w:rsid w:val="007F3E1F"/>
    <w:rsid w:val="008171F7"/>
    <w:rsid w:val="0084701A"/>
    <w:rsid w:val="00850B4A"/>
    <w:rsid w:val="00857529"/>
    <w:rsid w:val="008725D4"/>
    <w:rsid w:val="008740B7"/>
    <w:rsid w:val="008A34AA"/>
    <w:rsid w:val="008A61E7"/>
    <w:rsid w:val="008B2F42"/>
    <w:rsid w:val="008B33E0"/>
    <w:rsid w:val="008D13DE"/>
    <w:rsid w:val="008D1831"/>
    <w:rsid w:val="00902221"/>
    <w:rsid w:val="00914524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7582C"/>
    <w:rsid w:val="00A83192"/>
    <w:rsid w:val="00A9132E"/>
    <w:rsid w:val="00AC3E21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3416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3582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15B4A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A52D9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58924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EF"/>
    <w:pPr>
      <w:ind w:left="720"/>
      <w:contextualSpacing/>
    </w:pPr>
  </w:style>
  <w:style w:type="table" w:styleId="TableGrid">
    <w:name w:val="Table Grid"/>
    <w:basedOn w:val="TableNormal"/>
    <w:rsid w:val="00DD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52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A52D9"/>
    <w:rPr>
      <w:lang w:val="en-US" w:eastAsia="en-US"/>
    </w:rPr>
  </w:style>
  <w:style w:type="paragraph" w:styleId="Footer">
    <w:name w:val="footer"/>
    <w:basedOn w:val="Normal"/>
    <w:link w:val="FooterChar"/>
    <w:rsid w:val="00FA52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A52D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6</cp:revision>
  <cp:lastPrinted>2022-11-15T10:28:00Z</cp:lastPrinted>
  <dcterms:created xsi:type="dcterms:W3CDTF">2023-02-28T11:17:00Z</dcterms:created>
  <dcterms:modified xsi:type="dcterms:W3CDTF">2023-03-01T12:26:00Z</dcterms:modified>
</cp:coreProperties>
</file>