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FF1A" w14:textId="08ADF97C" w:rsidR="002F242E" w:rsidRDefault="002F242E" w:rsidP="002F242E">
      <w:pPr>
        <w:jc w:val="right"/>
        <w:rPr>
          <w:rFonts w:ascii="Times New Roman" w:hAnsi="Times New Roman"/>
          <w:b/>
          <w:bCs/>
          <w:i/>
          <w:iCs/>
          <w:sz w:val="28"/>
          <w:szCs w:val="28"/>
        </w:rPr>
      </w:pPr>
      <w:r>
        <w:rPr>
          <w:rFonts w:ascii="Times New Roman" w:hAnsi="Times New Roman"/>
          <w:b/>
          <w:bCs/>
          <w:i/>
          <w:iCs/>
          <w:sz w:val="28"/>
          <w:szCs w:val="28"/>
        </w:rPr>
        <w:t>Приложение 4</w:t>
      </w:r>
    </w:p>
    <w:p w14:paraId="6A4BCD2C" w14:textId="2EE76D04" w:rsidR="00E27868" w:rsidRPr="0025212A" w:rsidRDefault="0025212A" w:rsidP="0025212A">
      <w:pPr>
        <w:jc w:val="center"/>
        <w:rPr>
          <w:rFonts w:ascii="Times New Roman" w:hAnsi="Times New Roman"/>
          <w:b/>
          <w:bCs/>
          <w:i/>
          <w:iCs/>
          <w:sz w:val="28"/>
          <w:szCs w:val="28"/>
        </w:rPr>
      </w:pPr>
      <w:r w:rsidRPr="0025212A">
        <w:rPr>
          <w:rFonts w:ascii="Times New Roman" w:hAnsi="Times New Roman"/>
          <w:b/>
          <w:bCs/>
          <w:i/>
          <w:iCs/>
          <w:sz w:val="28"/>
          <w:szCs w:val="28"/>
        </w:rPr>
        <w:t>УКАЗАНИЯ  ЗА ИЗГОТВЯНЕ НА ПРЕДЛОЖЕНИЯТА ЗА ПРИЕМА</w:t>
      </w:r>
    </w:p>
    <w:p w14:paraId="313C3B8B" w14:textId="77777777" w:rsidR="0025212A" w:rsidRDefault="0025212A">
      <w:pPr>
        <w:rPr>
          <w:rFonts w:ascii="Times New Roman" w:hAnsi="Times New Roman"/>
          <w:i/>
          <w:iCs/>
          <w:sz w:val="24"/>
          <w:szCs w:val="24"/>
        </w:rPr>
      </w:pPr>
    </w:p>
    <w:p w14:paraId="123F4F1C" w14:textId="5404401C" w:rsidR="0025212A" w:rsidRDefault="00CF5174" w:rsidP="00CF5174">
      <w:pPr>
        <w:spacing w:after="0"/>
        <w:ind w:firstLine="851"/>
        <w:jc w:val="both"/>
        <w:rPr>
          <w:rFonts w:ascii="Times New Roman" w:hAnsi="Times New Roman"/>
          <w:sz w:val="24"/>
          <w:szCs w:val="24"/>
        </w:rPr>
      </w:pPr>
      <w:r>
        <w:rPr>
          <w:rFonts w:ascii="Times New Roman" w:hAnsi="Times New Roman"/>
          <w:sz w:val="24"/>
          <w:szCs w:val="24"/>
        </w:rPr>
        <w:t>Изготвянето на предложенията за държавен план-прием за 2024-2025 учебна година се основава на следните политики:</w:t>
      </w:r>
    </w:p>
    <w:p w14:paraId="33A55B02" w14:textId="07DB708E" w:rsidR="00CF5174" w:rsidRDefault="00CF5174" w:rsidP="00F95452">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 xml:space="preserve">Броят на паралелките, в които ще се предложи прием след завършено основно образование трябва да е пропорционален на броя на завършващите </w:t>
      </w:r>
      <w:r>
        <w:rPr>
          <w:rFonts w:ascii="Times New Roman" w:hAnsi="Times New Roman"/>
          <w:sz w:val="24"/>
          <w:szCs w:val="24"/>
          <w:lang w:val="en-US"/>
        </w:rPr>
        <w:t>VII</w:t>
      </w:r>
      <w:r w:rsidRPr="00CF5174">
        <w:rPr>
          <w:rFonts w:ascii="Times New Roman" w:hAnsi="Times New Roman"/>
          <w:sz w:val="24"/>
          <w:szCs w:val="24"/>
          <w:vertAlign w:val="superscript"/>
          <w:lang w:val="en-US"/>
        </w:rPr>
        <w:t>-</w:t>
      </w:r>
      <w:r w:rsidRPr="00CF5174">
        <w:rPr>
          <w:rFonts w:ascii="Times New Roman" w:hAnsi="Times New Roman"/>
          <w:sz w:val="24"/>
          <w:szCs w:val="24"/>
          <w:vertAlign w:val="superscript"/>
        </w:rPr>
        <w:t>ми</w:t>
      </w:r>
      <w:r>
        <w:rPr>
          <w:rFonts w:ascii="Times New Roman" w:hAnsi="Times New Roman"/>
          <w:sz w:val="24"/>
          <w:szCs w:val="24"/>
        </w:rPr>
        <w:t xml:space="preserve"> клас ученици в съответната област през учебната година, за която се планира приема</w:t>
      </w:r>
      <w:r w:rsidR="00232AB1">
        <w:rPr>
          <w:rFonts w:ascii="Times New Roman" w:hAnsi="Times New Roman"/>
          <w:sz w:val="24"/>
          <w:szCs w:val="24"/>
        </w:rPr>
        <w:t>, при запазване на постигнатата пълняемост на паралелките. С оглед възможността за реализиране на прием по защитени професии или професии с очакван недостиг на пазара на труда, които имат по-ниска пълняемост, предлаганият брой паралелки може да бъде завишен с 2%</w:t>
      </w:r>
      <w:r w:rsidR="00C36E60">
        <w:rPr>
          <w:rFonts w:ascii="Times New Roman" w:hAnsi="Times New Roman"/>
          <w:sz w:val="24"/>
          <w:szCs w:val="24"/>
        </w:rPr>
        <w:t>. Няма да се толерира формиране на паралелки с брой ученици над максималния в случай, че има закрити нереализирани паралелки от държавния план-прием</w:t>
      </w:r>
      <w:r w:rsidR="008F2A3F">
        <w:rPr>
          <w:rFonts w:ascii="Times New Roman" w:hAnsi="Times New Roman"/>
          <w:sz w:val="24"/>
          <w:szCs w:val="24"/>
        </w:rPr>
        <w:t xml:space="preserve"> на територията на населеното място</w:t>
      </w:r>
      <w:r>
        <w:rPr>
          <w:rFonts w:ascii="Times New Roman" w:hAnsi="Times New Roman"/>
          <w:sz w:val="24"/>
          <w:szCs w:val="24"/>
        </w:rPr>
        <w:t>;</w:t>
      </w:r>
    </w:p>
    <w:p w14:paraId="36AFD67B" w14:textId="35CDEEDD" w:rsidR="00232AB1" w:rsidRDefault="00232AB1" w:rsidP="00F95452">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 xml:space="preserve">Броят на местата за обучение по професии трябва да постигне минимум зададената целева стойност в проценти, като националната цел е устойчиво поддържане на съотношение 60%:40% в полза на професионалното образование. Областите </w:t>
      </w:r>
      <w:r w:rsidR="003E5E8D">
        <w:rPr>
          <w:rFonts w:ascii="Times New Roman" w:hAnsi="Times New Roman"/>
          <w:sz w:val="24"/>
          <w:szCs w:val="24"/>
        </w:rPr>
        <w:t>Кърджали, София-град, Смолян и Шумен се очаква в рамките на следващите 3 години да се доближат до националното съотношение. Зададените целеви стойности са съпоставими с тези от миналата година с оглед постигане на устойчивост.</w:t>
      </w:r>
    </w:p>
    <w:p w14:paraId="151851F2" w14:textId="72FCE9FD" w:rsidR="003E5E8D" w:rsidRDefault="003E5E8D" w:rsidP="00F95452">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 xml:space="preserve">Броят на местата за обучение по </w:t>
      </w:r>
      <w:r w:rsidRPr="00F95452">
        <w:rPr>
          <w:rFonts w:ascii="Times New Roman" w:hAnsi="Times New Roman"/>
          <w:sz w:val="24"/>
          <w:szCs w:val="24"/>
        </w:rPr>
        <w:t xml:space="preserve">STEM </w:t>
      </w:r>
      <w:r>
        <w:rPr>
          <w:rFonts w:ascii="Times New Roman" w:hAnsi="Times New Roman"/>
          <w:sz w:val="24"/>
          <w:szCs w:val="24"/>
        </w:rPr>
        <w:t xml:space="preserve">профили и професии трябва да достигне минимум зададената целева стойност, като на национално ниво целта е да се поддържа устойчивост на съотношението 60%:40% в полза на </w:t>
      </w:r>
      <w:r w:rsidRPr="00F95452">
        <w:rPr>
          <w:rFonts w:ascii="Times New Roman" w:hAnsi="Times New Roman"/>
          <w:sz w:val="24"/>
          <w:szCs w:val="24"/>
        </w:rPr>
        <w:t xml:space="preserve">STEM </w:t>
      </w:r>
      <w:r>
        <w:rPr>
          <w:rFonts w:ascii="Times New Roman" w:hAnsi="Times New Roman"/>
          <w:sz w:val="24"/>
          <w:szCs w:val="24"/>
        </w:rPr>
        <w:t xml:space="preserve">обучението. Изключение от зададената целева стойност се допуска само в региони, в които има големи заявки от работодатели за обучение по професии, които не са в областта на </w:t>
      </w:r>
      <w:r w:rsidRPr="00F95452">
        <w:rPr>
          <w:rFonts w:ascii="Times New Roman" w:hAnsi="Times New Roman"/>
          <w:sz w:val="24"/>
          <w:szCs w:val="24"/>
        </w:rPr>
        <w:t>STE</w:t>
      </w:r>
      <w:r>
        <w:rPr>
          <w:rFonts w:ascii="Times New Roman" w:hAnsi="Times New Roman"/>
          <w:sz w:val="24"/>
          <w:szCs w:val="24"/>
        </w:rPr>
        <w:t>М, но са структуроопределящи за местната икономика. Зададените целеви стойности са съпоставими с постигнатите през миналата година, като е определен минимален целеви процент, равен на минималния процент, достигнат през миналата година</w:t>
      </w:r>
      <w:r w:rsidR="00814493">
        <w:rPr>
          <w:rFonts w:ascii="Times New Roman" w:hAnsi="Times New Roman"/>
          <w:sz w:val="24"/>
          <w:szCs w:val="24"/>
        </w:rPr>
        <w:t xml:space="preserve"> – 52%.</w:t>
      </w:r>
    </w:p>
    <w:p w14:paraId="16E4864B" w14:textId="1BA33999" w:rsidR="00CF5174" w:rsidRDefault="004C5821" w:rsidP="008F2A3F">
      <w:pPr>
        <w:pStyle w:val="ListParagraph"/>
        <w:numPr>
          <w:ilvl w:val="0"/>
          <w:numId w:val="1"/>
        </w:numPr>
        <w:spacing w:after="120"/>
        <w:ind w:left="0" w:firstLine="919"/>
        <w:jc w:val="both"/>
        <w:rPr>
          <w:rFonts w:ascii="Times New Roman" w:hAnsi="Times New Roman"/>
          <w:sz w:val="24"/>
          <w:szCs w:val="24"/>
        </w:rPr>
      </w:pPr>
      <w:r>
        <w:rPr>
          <w:rFonts w:ascii="Times New Roman" w:hAnsi="Times New Roman"/>
          <w:sz w:val="24"/>
          <w:szCs w:val="24"/>
        </w:rPr>
        <w:t xml:space="preserve">На национално ниво се очаква постепенно доближаване на пропорционалното разпределение на приема по професии по икономически сектори да се доближи до разпределението на заетите лица в съответните сектори в реалната икономика. Съществуващото съотношение за 2023/24 година (фиг.1) трябва да бъде изменено, като </w:t>
      </w:r>
      <w:r w:rsidR="000F3635">
        <w:rPr>
          <w:rFonts w:ascii="Times New Roman" w:hAnsi="Times New Roman"/>
          <w:sz w:val="24"/>
          <w:szCs w:val="24"/>
        </w:rPr>
        <w:t>област „Изкуства“ се сведе до 1%, като се вземат предвид и учениците, обучаващи се в училищата по изкуства на територията на съответната област, „Туризъм и услуги“ се доближи към 10%, за сметка на секторите „Техника“ и „Строителство“.</w:t>
      </w:r>
    </w:p>
    <w:p w14:paraId="2D45D12F" w14:textId="2CB3570A" w:rsidR="00257CFF" w:rsidRDefault="00257CFF" w:rsidP="00F95452">
      <w:pPr>
        <w:spacing w:after="0"/>
        <w:jc w:val="center"/>
        <w:rPr>
          <w:rFonts w:ascii="Times New Roman" w:hAnsi="Times New Roman"/>
          <w:sz w:val="24"/>
          <w:szCs w:val="24"/>
        </w:rPr>
      </w:pPr>
      <w:r>
        <w:rPr>
          <w:noProof/>
        </w:rPr>
        <w:lastRenderedPageBreak/>
        <w:drawing>
          <wp:inline distT="0" distB="0" distL="0" distR="0" wp14:anchorId="1D295090" wp14:editId="02CB59A3">
            <wp:extent cx="3396934" cy="2523909"/>
            <wp:effectExtent l="0" t="0" r="13335" b="10160"/>
            <wp:docPr id="1678106364" name="Chart 1">
              <a:extLst xmlns:a="http://schemas.openxmlformats.org/drawingml/2006/main">
                <a:ext uri="{FF2B5EF4-FFF2-40B4-BE49-F238E27FC236}">
                  <a16:creationId xmlns:a16="http://schemas.microsoft.com/office/drawing/2014/main" id="{8DF8116D-8C1A-43EE-AE5E-B09015E1D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F95452">
        <w:rPr>
          <w:rFonts w:ascii="Times New Roman" w:hAnsi="Times New Roman"/>
          <w:sz w:val="24"/>
          <w:szCs w:val="24"/>
        </w:rPr>
        <w:tab/>
        <w:t>фиг.1</w:t>
      </w:r>
    </w:p>
    <w:p w14:paraId="6A433C7B" w14:textId="77777777" w:rsidR="00257CFF" w:rsidRPr="00257CFF" w:rsidRDefault="00257CFF" w:rsidP="00257CFF">
      <w:pPr>
        <w:spacing w:after="0"/>
        <w:jc w:val="both"/>
        <w:rPr>
          <w:rFonts w:ascii="Times New Roman" w:hAnsi="Times New Roman"/>
          <w:sz w:val="24"/>
          <w:szCs w:val="24"/>
        </w:rPr>
      </w:pPr>
    </w:p>
    <w:p w14:paraId="3AAF933D" w14:textId="024EECA0" w:rsidR="004C5821" w:rsidRDefault="007D650B" w:rsidP="00610434">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 xml:space="preserve">При </w:t>
      </w:r>
      <w:r w:rsidR="008F2A3F">
        <w:rPr>
          <w:rFonts w:ascii="Times New Roman" w:hAnsi="Times New Roman"/>
          <w:sz w:val="24"/>
          <w:szCs w:val="24"/>
        </w:rPr>
        <w:t>предлагане</w:t>
      </w:r>
      <w:r>
        <w:rPr>
          <w:rFonts w:ascii="Times New Roman" w:hAnsi="Times New Roman"/>
          <w:sz w:val="24"/>
          <w:szCs w:val="24"/>
        </w:rPr>
        <w:t xml:space="preserve"> на прием по професии в област „Изкуства“ следва да бъдат представени точни описания на материалната база на училището, както и документи на правоспособен учител по професионална подготовка, завършил специалност от висшето образование, съответстваща точно на заявената за обучение специалност</w:t>
      </w:r>
      <w:r w:rsidR="00CB71DC">
        <w:rPr>
          <w:rFonts w:ascii="Times New Roman" w:hAnsi="Times New Roman"/>
          <w:sz w:val="24"/>
          <w:szCs w:val="24"/>
        </w:rPr>
        <w:t>, както и заявки от работодатели за осигуряване на работни места за практика.</w:t>
      </w:r>
    </w:p>
    <w:p w14:paraId="261A69D6" w14:textId="43C2D97D" w:rsidR="00CB71DC" w:rsidRDefault="009A143F" w:rsidP="00610434">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В процеса на планиране на държавния прием на първо място се предприемат необходимите действия за изпълнение на заявките, постъпили от работодателите. При заявка за обучение по професия с първа СПК, ако няма подходящи паралелки с обучение до Х-ти клас, се планира професията с втора или трета степен на професионална квалификация, която позволява след Х-ти клас придобиване на заявената квалификация.</w:t>
      </w:r>
      <w:r w:rsidR="009721E3">
        <w:rPr>
          <w:rFonts w:ascii="Times New Roman" w:hAnsi="Times New Roman"/>
          <w:sz w:val="24"/>
          <w:szCs w:val="24"/>
        </w:rPr>
        <w:t xml:space="preserve"> </w:t>
      </w:r>
    </w:p>
    <w:p w14:paraId="1B29A790" w14:textId="755D1ECE" w:rsidR="009721E3" w:rsidRDefault="009721E3" w:rsidP="00610434">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След изпълнение в максимална степен на постъпилите заявки от работодатели се планират останалите паралелки при спазване на зададените целеви стойности;</w:t>
      </w:r>
    </w:p>
    <w:p w14:paraId="4557D700" w14:textId="6F7ACE58" w:rsidR="009721E3" w:rsidRDefault="009721E3" w:rsidP="00610434">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Прием по професия в средно училище в населено място</w:t>
      </w:r>
      <w:r w:rsidR="00FC182A">
        <w:rPr>
          <w:rFonts w:ascii="Times New Roman" w:hAnsi="Times New Roman"/>
          <w:sz w:val="24"/>
          <w:szCs w:val="24"/>
        </w:rPr>
        <w:t>/район</w:t>
      </w:r>
      <w:r>
        <w:rPr>
          <w:rFonts w:ascii="Times New Roman" w:hAnsi="Times New Roman"/>
          <w:sz w:val="24"/>
          <w:szCs w:val="24"/>
        </w:rPr>
        <w:t xml:space="preserve">, в което има професионална гимназия, се разрешава само, ако бъде представен писмен отказ от </w:t>
      </w:r>
      <w:r w:rsidR="00E41239">
        <w:rPr>
          <w:rFonts w:ascii="Times New Roman" w:hAnsi="Times New Roman"/>
          <w:sz w:val="24"/>
          <w:szCs w:val="24"/>
        </w:rPr>
        <w:t>директора на професионалната гимназия да предложи заявената от работодателите професия или при изрична заявка от работодатели, в която се посочва желаното училище-партньор.</w:t>
      </w:r>
    </w:p>
    <w:p w14:paraId="688DDB57" w14:textId="15ED876E" w:rsidR="00FC182A" w:rsidRPr="00CF5174" w:rsidRDefault="007736E3" w:rsidP="00610434">
      <w:pPr>
        <w:pStyle w:val="ListParagraph"/>
        <w:numPr>
          <w:ilvl w:val="0"/>
          <w:numId w:val="1"/>
        </w:numPr>
        <w:spacing w:after="0"/>
        <w:ind w:left="0" w:firstLine="916"/>
        <w:jc w:val="both"/>
        <w:rPr>
          <w:rFonts w:ascii="Times New Roman" w:hAnsi="Times New Roman"/>
          <w:sz w:val="24"/>
          <w:szCs w:val="24"/>
        </w:rPr>
      </w:pPr>
      <w:r>
        <w:rPr>
          <w:rFonts w:ascii="Times New Roman" w:hAnsi="Times New Roman"/>
          <w:sz w:val="24"/>
          <w:szCs w:val="24"/>
        </w:rPr>
        <w:t>При утвърждаване на заявката за държавен план-прием по професии, постъпила от директорите на училища, РУО проверява капацитета на работодателите за осигуряване на практическото обучение на учениците, като максималния допустим брой заявени места за прием не може да надвишава 50% от заетите във фирмата.</w:t>
      </w:r>
    </w:p>
    <w:p w14:paraId="18DE369E" w14:textId="77777777" w:rsidR="0025212A" w:rsidRDefault="0025212A"/>
    <w:sectPr w:rsidR="0025212A" w:rsidSect="008F2A3F">
      <w:pgSz w:w="11906" w:h="16838"/>
      <w:pgMar w:top="1417"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D4D99"/>
    <w:multiLevelType w:val="hybridMultilevel"/>
    <w:tmpl w:val="4C48F4EA"/>
    <w:lvl w:ilvl="0" w:tplc="56661E8C">
      <w:start w:val="6"/>
      <w:numFmt w:val="bullet"/>
      <w:lvlText w:val="-"/>
      <w:lvlJc w:val="left"/>
      <w:pPr>
        <w:ind w:left="1211" w:hanging="360"/>
      </w:pPr>
      <w:rPr>
        <w:rFonts w:ascii="Times New Roman" w:eastAsiaTheme="minorHAns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2A"/>
    <w:rsid w:val="000C3879"/>
    <w:rsid w:val="000F3635"/>
    <w:rsid w:val="00232AB1"/>
    <w:rsid w:val="0025212A"/>
    <w:rsid w:val="00257CFF"/>
    <w:rsid w:val="002F242E"/>
    <w:rsid w:val="003E5E8D"/>
    <w:rsid w:val="004C5821"/>
    <w:rsid w:val="00610434"/>
    <w:rsid w:val="007255A8"/>
    <w:rsid w:val="007736E3"/>
    <w:rsid w:val="007D650B"/>
    <w:rsid w:val="00814493"/>
    <w:rsid w:val="008F2A3F"/>
    <w:rsid w:val="009721E3"/>
    <w:rsid w:val="009A143F"/>
    <w:rsid w:val="00C36E60"/>
    <w:rsid w:val="00CB71DC"/>
    <w:rsid w:val="00CF5174"/>
    <w:rsid w:val="00E27868"/>
    <w:rsid w:val="00E41239"/>
    <w:rsid w:val="00F95452"/>
    <w:rsid w:val="00FC18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AD86"/>
  <w15:chartTrackingRefBased/>
  <w15:docId w15:val="{D5C27061-20BE-4C95-B0FC-6E7418B1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sz="1000"/>
              <a:t>УЧЕНИЦИ</a:t>
            </a:r>
            <a:r>
              <a:rPr lang="bg-BG" sz="1000" baseline="0"/>
              <a:t> ПО ПРОФЕСИОНАЛНИ ОБЛАСТИ</a:t>
            </a:r>
            <a:endParaRPr lang="en-US" sz="10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bg-BG"/>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FFC-48FF-8104-CB7F51D94F2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FFC-48FF-8104-CB7F51D94F2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FFC-48FF-8104-CB7F51D94F2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FFC-48FF-8104-CB7F51D94F21}"/>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FFC-48FF-8104-CB7F51D94F21}"/>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FFC-48FF-8104-CB7F51D94F21}"/>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FFC-48FF-8104-CB7F51D94F21}"/>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0FFC-48FF-8104-CB7F51D94F21}"/>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0FFC-48FF-8104-CB7F51D94F21}"/>
              </c:ext>
            </c:extLst>
          </c:dPt>
          <c:dPt>
            <c:idx val="9"/>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0FFC-48FF-8104-CB7F51D94F21}"/>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124CE0B-D2C4-42C4-9E8B-E876AB93C787}" type="CATEGORYNAME">
                      <a:rPr lang="bg-BG" sz="800"/>
                      <a:pPr>
                        <a:defRPr/>
                      </a:pPr>
                      <a:t>[CATEGORY NAME]</a:t>
                    </a:fld>
                    <a:r>
                      <a:rPr lang="bg-BG" sz="800" baseline="0"/>
                      <a:t>
</a:t>
                    </a:r>
                    <a:fld id="{A4EFC7E2-43EA-4339-AF9C-FCA154ABD535}" type="PERCENTAGE">
                      <a:rPr lang="bg-BG" sz="800" baseline="0"/>
                      <a:pPr>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FFC-48FF-8104-CB7F51D94F21}"/>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5C6988C2-3E06-4AA2-BF19-74D7B9D462BF}" type="CATEGORYNAME">
                      <a:rPr lang="bg-BG" sz="800"/>
                      <a:pPr>
                        <a:defRPr>
                          <a:solidFill>
                            <a:schemeClr val="accent1"/>
                          </a:solidFill>
                        </a:defRPr>
                      </a:pPr>
                      <a:t>[CATEGORY NAME]</a:t>
                    </a:fld>
                    <a:r>
                      <a:rPr lang="bg-BG" baseline="0"/>
                      <a:t>
</a:t>
                    </a:r>
                    <a:fld id="{B4002335-E776-4BEA-BE47-C310AEE351E2}" type="PERCENTAGE">
                      <a:rPr lang="bg-BG" baseline="0"/>
                      <a:pPr>
                        <a:defRPr>
                          <a:solidFill>
                            <a:schemeClr val="accent1"/>
                          </a:solidFill>
                        </a:defRPr>
                      </a:pPr>
                      <a:t>[PERCENTAGE]</a:t>
                    </a:fld>
                    <a:endParaRPr lang="bg-BG"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FFC-48FF-8104-CB7F51D94F2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bg-BG"/>
                </a:p>
              </c:txPr>
              <c:dLblPos val="outEnd"/>
              <c:showLegendKey val="0"/>
              <c:showVal val="0"/>
              <c:showCatName val="1"/>
              <c:showSerName val="0"/>
              <c:showPercent val="1"/>
              <c:showBubbleSize val="0"/>
              <c:extLst>
                <c:ext xmlns:c16="http://schemas.microsoft.com/office/drawing/2014/chart" uri="{C3380CC4-5D6E-409C-BE32-E72D297353CC}">
                  <c16:uniqueId val="{00000005-0FFC-48FF-8104-CB7F51D94F21}"/>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41E1B8D-C0CA-4BEC-A514-6AC85EFD7BB3}" type="CATEGORYNAME">
                      <a:rPr lang="bg-BG" sz="800"/>
                      <a:pPr>
                        <a:defRPr>
                          <a:solidFill>
                            <a:schemeClr val="accent1"/>
                          </a:solidFill>
                        </a:defRPr>
                      </a:pPr>
                      <a:t>[CATEGORY NAME]</a:t>
                    </a:fld>
                    <a:r>
                      <a:rPr lang="bg-BG" sz="800" baseline="0"/>
                      <a:t>
</a:t>
                    </a:r>
                    <a:fld id="{469E936B-42D1-467E-98F6-44906A009CAF}" type="PERCENTAGE">
                      <a:rPr lang="bg-BG" sz="800" baseline="0"/>
                      <a:pPr>
                        <a:defRPr>
                          <a:solidFill>
                            <a:schemeClr val="accent1"/>
                          </a:solidFill>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FFC-48FF-8104-CB7F51D94F21}"/>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56E67D7-7A37-4974-A27A-0BFF5CA0F39C}" type="CATEGORYNAME">
                      <a:rPr lang="bg-BG" sz="800"/>
                      <a:pPr>
                        <a:defRPr>
                          <a:solidFill>
                            <a:schemeClr val="accent1"/>
                          </a:solidFill>
                        </a:defRPr>
                      </a:pPr>
                      <a:t>[CATEGORY NAME]</a:t>
                    </a:fld>
                    <a:r>
                      <a:rPr lang="bg-BG" sz="800" baseline="0"/>
                      <a:t>
</a:t>
                    </a:r>
                    <a:fld id="{97E27DC0-2B58-4730-8DA7-E275A775F0CC}" type="PERCENTAGE">
                      <a:rPr lang="bg-BG" baseline="0"/>
                      <a:pPr>
                        <a:defRPr>
                          <a:solidFill>
                            <a:schemeClr val="accent1"/>
                          </a:solidFill>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FFC-48FF-8104-CB7F51D94F21}"/>
                </c:ext>
              </c:extLst>
            </c:dLbl>
            <c:dLbl>
              <c:idx val="5"/>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0714E1B0-5173-4510-813B-E19249EA2F4C}" type="CATEGORYNAME">
                      <a:rPr lang="bg-BG" sz="800"/>
                      <a:pPr>
                        <a:defRPr>
                          <a:solidFill>
                            <a:schemeClr val="accent1"/>
                          </a:solidFill>
                        </a:defRPr>
                      </a:pPr>
                      <a:t>[CATEGORY NAME]</a:t>
                    </a:fld>
                    <a:r>
                      <a:rPr lang="bg-BG" baseline="0"/>
                      <a:t>
</a:t>
                    </a:r>
                    <a:fld id="{11357F2B-98BD-4BAD-9342-2F73B0A2ED0F}" type="PERCENTAGE">
                      <a:rPr lang="bg-BG" baseline="0"/>
                      <a:pPr>
                        <a:defRPr>
                          <a:solidFill>
                            <a:schemeClr val="accent1"/>
                          </a:solidFill>
                        </a:defRPr>
                      </a:pPr>
                      <a:t>[PERCENTAGE]</a:t>
                    </a:fld>
                    <a:endParaRPr lang="bg-BG"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FFC-48FF-8104-CB7F51D94F21}"/>
                </c:ext>
              </c:extLst>
            </c:dLbl>
            <c:dLbl>
              <c:idx val="6"/>
              <c:layout>
                <c:manualLayout>
                  <c:x val="0"/>
                  <c:y val="7.045797684952180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A75913EA-B5F1-46C5-9C3C-11B370FA456A}" type="CATEGORYNAME">
                      <a:rPr lang="bg-BG" sz="800"/>
                      <a:pPr>
                        <a:defRPr>
                          <a:solidFill>
                            <a:schemeClr val="accent1"/>
                          </a:solidFill>
                        </a:defRPr>
                      </a:pPr>
                      <a:t>[CATEGORY NAME]</a:t>
                    </a:fld>
                    <a:r>
                      <a:rPr lang="bg-BG" sz="800" baseline="0"/>
                      <a:t>
</a:t>
                    </a:r>
                    <a:fld id="{37A6BA7A-536A-4E0B-B1A1-CBBC52F8C605}" type="PERCENTAGE">
                      <a:rPr lang="bg-BG" sz="800" baseline="0"/>
                      <a:pPr>
                        <a:defRPr>
                          <a:solidFill>
                            <a:schemeClr val="accent1"/>
                          </a:solidFill>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FFC-48FF-8104-CB7F51D94F21}"/>
                </c:ext>
              </c:extLst>
            </c:dLbl>
            <c:dLbl>
              <c:idx val="7"/>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210DBBD9-3722-4286-997D-B378B17E6C31}" type="CATEGORYNAME">
                      <a:rPr lang="bg-BG" sz="800"/>
                      <a:pPr>
                        <a:defRPr>
                          <a:solidFill>
                            <a:schemeClr val="accent1"/>
                          </a:solidFill>
                        </a:defRPr>
                      </a:pPr>
                      <a:t>[CATEGORY NAME]</a:t>
                    </a:fld>
                    <a:r>
                      <a:rPr lang="bg-BG" baseline="0"/>
                      <a:t>
</a:t>
                    </a:r>
                    <a:fld id="{D13EEECF-F9B8-431C-9D8C-1F6D2B3B86D9}" type="PERCENTAGE">
                      <a:rPr lang="bg-BG" baseline="0"/>
                      <a:pPr>
                        <a:defRPr>
                          <a:solidFill>
                            <a:schemeClr val="accent1"/>
                          </a:solidFill>
                        </a:defRPr>
                      </a:pPr>
                      <a:t>[PERCENTAGE]</a:t>
                    </a:fld>
                    <a:endParaRPr lang="bg-BG"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0FFC-48FF-8104-CB7F51D94F21}"/>
                </c:ext>
              </c:extLst>
            </c:dLbl>
            <c:dLbl>
              <c:idx val="8"/>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3D3AB00-C4FB-4F62-B531-FC31D8B137BC}" type="CATEGORYNAME">
                      <a:rPr lang="bg-BG" sz="800"/>
                      <a:pPr>
                        <a:defRPr>
                          <a:solidFill>
                            <a:schemeClr val="accent1"/>
                          </a:solidFill>
                        </a:defRPr>
                      </a:pPr>
                      <a:t>[CATEGORY NAME]</a:t>
                    </a:fld>
                    <a:r>
                      <a:rPr lang="bg-BG" sz="800" baseline="0"/>
                      <a:t>
</a:t>
                    </a:r>
                    <a:fld id="{63FF8DD0-F250-4DE2-9DF4-8F8DCC3D6865}" type="PERCENTAGE">
                      <a:rPr lang="bg-BG" sz="800" baseline="0"/>
                      <a:pPr>
                        <a:defRPr>
                          <a:solidFill>
                            <a:schemeClr val="accent1"/>
                          </a:solidFill>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0FFC-48FF-8104-CB7F51D94F21}"/>
                </c:ext>
              </c:extLst>
            </c:dLbl>
            <c:dLbl>
              <c:idx val="9"/>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BA587A03-FB49-40A4-8C8D-2F5BCC351512}" type="CATEGORYNAME">
                      <a:rPr lang="bg-BG" sz="800"/>
                      <a:pPr>
                        <a:defRPr>
                          <a:solidFill>
                            <a:schemeClr val="accent1"/>
                          </a:solidFill>
                        </a:defRPr>
                      </a:pPr>
                      <a:t>[CATEGORY NAME]</a:t>
                    </a:fld>
                    <a:r>
                      <a:rPr lang="bg-BG" sz="800" baseline="0"/>
                      <a:t>
</a:t>
                    </a:r>
                    <a:fld id="{34354093-2F06-4C5A-B4D2-D478650B2960}" type="PERCENTAGE">
                      <a:rPr lang="bg-BG" sz="800" baseline="0"/>
                      <a:pPr>
                        <a:defRPr>
                          <a:solidFill>
                            <a:schemeClr val="accent1"/>
                          </a:solidFill>
                        </a:defRPr>
                      </a:pPr>
                      <a:t>[PERCENTAGE]</a:t>
                    </a:fld>
                    <a:endParaRPr lang="bg-BG" sz="8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bg-BG"/>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0FFC-48FF-8104-CB7F51D94F2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('Мрежа прием'!$T$20,'Мрежа прием'!$V$20,'Мрежа прием'!$X$20,'Мрежа прием'!$Z$20,'Мрежа прием'!$AB$20,'Мрежа прием'!$AD$20,'Мрежа прием'!$AF$20,'Мрежа прием'!$AH$20,'Мрежа прием'!$AJ$20,'Мрежа прием'!$AL$20)</c:f>
              <c:strCache>
                <c:ptCount val="10"/>
                <c:pt idx="0">
                  <c:v>изкуства</c:v>
                </c:pt>
                <c:pt idx="1">
                  <c:v>икономика</c:v>
                </c:pt>
                <c:pt idx="2">
                  <c:v>ИТ</c:v>
                </c:pt>
                <c:pt idx="3">
                  <c:v>техника</c:v>
                </c:pt>
                <c:pt idx="4">
                  <c:v>технологии</c:v>
                </c:pt>
                <c:pt idx="5">
                  <c:v>строителство</c:v>
                </c:pt>
                <c:pt idx="6">
                  <c:v>селско стопанство</c:v>
                </c:pt>
                <c:pt idx="7">
                  <c:v>здравни и социални</c:v>
                </c:pt>
                <c:pt idx="8">
                  <c:v>туризъм и услуги</c:v>
                </c:pt>
                <c:pt idx="9">
                  <c:v>транспортни услуги</c:v>
                </c:pt>
              </c:strCache>
            </c:strRef>
          </c:cat>
          <c:val>
            <c:numRef>
              <c:f>('Мрежа прием'!$T$21,'Мрежа прием'!$V$21,'Мрежа прием'!$X$21,'Мрежа прием'!$Z$21,'Мрежа прием'!$AB$21,'Мрежа прием'!$AD$21,'Мрежа прием'!$AF$21,'Мрежа прием'!$AH$21,'Мрежа прием'!$AJ$21,'Мрежа прием'!$AL$21)</c:f>
              <c:numCache>
                <c:formatCode>General</c:formatCode>
                <c:ptCount val="10"/>
                <c:pt idx="0">
                  <c:v>3201</c:v>
                </c:pt>
                <c:pt idx="1">
                  <c:v>3475</c:v>
                </c:pt>
                <c:pt idx="2">
                  <c:v>5189</c:v>
                </c:pt>
                <c:pt idx="3">
                  <c:v>8085</c:v>
                </c:pt>
                <c:pt idx="4">
                  <c:v>2353</c:v>
                </c:pt>
                <c:pt idx="5">
                  <c:v>1435</c:v>
                </c:pt>
                <c:pt idx="6">
                  <c:v>2726</c:v>
                </c:pt>
                <c:pt idx="7">
                  <c:v>588</c:v>
                </c:pt>
                <c:pt idx="8">
                  <c:v>5318</c:v>
                </c:pt>
                <c:pt idx="9">
                  <c:v>742</c:v>
                </c:pt>
              </c:numCache>
            </c:numRef>
          </c:val>
          <c:extLst>
            <c:ext xmlns:c16="http://schemas.microsoft.com/office/drawing/2014/chart" uri="{C3380CC4-5D6E-409C-BE32-E72D297353CC}">
              <c16:uniqueId val="{00000014-0FFC-48FF-8104-CB7F51D94F21}"/>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Мариета Георгиева</dc:creator>
  <cp:keywords/>
  <dc:description/>
  <cp:lastModifiedBy>Rangel Raichev</cp:lastModifiedBy>
  <cp:revision>24</cp:revision>
  <dcterms:created xsi:type="dcterms:W3CDTF">2023-11-17T04:22:00Z</dcterms:created>
  <dcterms:modified xsi:type="dcterms:W3CDTF">2023-12-04T07:54:00Z</dcterms:modified>
</cp:coreProperties>
</file>